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Anexo XXXI – Edital de Convocação para Recebimento de Propostas e Instauração de Procedimento de Manifestação </w:t>
      </w:r>
    </w:p>
    <w:p>
      <w:pPr>
        <w:pStyle w:val="style0"/>
        <w:tabs>
          <w:tab w:leader="none" w:pos="4253" w:val="left"/>
        </w:tabs>
        <w:jc w:val="center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</w:rPr>
        <w:t xml:space="preserve">de Interesse Social nº ___/20___ </w:t>
      </w:r>
    </w:p>
    <w:p>
      <w:pPr>
        <w:pStyle w:val="style0"/>
        <w:tabs>
          <w:tab w:leader="none" w:pos="4253" w:val="left"/>
        </w:tabs>
        <w:spacing w:line="360" w:lineRule="auto"/>
        <w:jc w:val="both"/>
        <w:rPr>
          <w:rFonts w:ascii="Arial" w:cs="Arial" w:hAnsi="Arial"/>
          <w:b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Arial" w:cs="Arial" w:hAnsi="Arial"/>
          <w:b/>
          <w:sz w:val="28"/>
          <w:szCs w:val="28"/>
        </w:rPr>
      </w:r>
    </w:p>
    <w:p>
      <w:pPr>
        <w:pStyle w:val="style0"/>
        <w:spacing w:line="360" w:lineRule="auto"/>
        <w:ind w:firstLine="709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 xml:space="preserve">O Município de____________ comunica aos interessados que receberá propostas das organizações da sociedade civil, dos movimentos sociais e dos cidadãos, para a celebração de parcerias com o objetivo de executar atividades ou projetos, de interesse público, visando à avaliação, pela Administração Municipal, </w:t>
      </w:r>
      <w:r>
        <w:rPr>
          <w:rFonts w:ascii="Arial" w:cs="Arial" w:hAnsi="Arial"/>
          <w:color w:val="000000"/>
        </w:rPr>
        <w:t>da conveniência e oportunidade da realização de Procedimento de Manifestação de Interesse Social,</w:t>
      </w:r>
      <w:r>
        <w:rPr>
          <w:rFonts w:ascii="Arial" w:cs="Arial" w:hAnsi="Arial"/>
        </w:rPr>
        <w:t xml:space="preserve"> nos termos dos arts. 18 a 21 da Lei Federal nº 13.019/2014, de 31 de julho de 2014, e do Decreto Municipal nº 216/2016, de 28 de novembro de 2016, de acordo com as condições a seguir previstas.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1.</w:t>
      </w:r>
      <w:r>
        <w:rPr>
          <w:rFonts w:ascii="Arial" w:cs="Arial" w:hAnsi="Arial"/>
        </w:rPr>
        <w:t xml:space="preserve"> As propostas deverão ser apresentadas no período compreendido entre ____/____/____ e ____/____/____, e poderão ser entregues no Setor de Protocolo do Município, sito à Rua/Av. ___ nº___, Município de ___ ou pela internet, na página oficial do Município, no endereço eletrônico ________________________, mediante preenchimento de formulário específico, conforme Anexo deste edital e disponível no link ______________.</w:t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567" w:val="left"/>
          <w:tab w:leader="none" w:pos="4253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2.</w:t>
      </w:r>
      <w:r>
        <w:rPr>
          <w:rFonts w:ascii="Arial" w:cs="Arial" w:hAnsi="Arial"/>
        </w:rPr>
        <w:t xml:space="preserve"> Organizações da sociedade civil, movimentos sociais e cidadãos poderão apresentar propostas, desde que atendam aos seguintes requisitos: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 - identificação do subscritor da proposta, contendo: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a) nome completo ou razão social do proponente;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b) número do Cadastro de Pessoa Física ou Cadastro Nacional de Pessoa Jurídica junto à Receita Federal do Brasil;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c) endereço completo de residência ou sede, acompanhado de endereço eletrônico de e-mail;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d) no caso de organização da sociedade civil ou movimento social, indicação do seu objeto social ou área de atuação.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II - indicação do interesse público envolvido; e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III - diagnóstico da realidade a ser modificada, aprimorada ou desenvolvida e, quando possível, indicação da viabilidade, dos custos, dos benefícios e dos prazos de execução da ação pretendida.</w:t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spacing w:line="360" w:lineRule="auto"/>
        <w:ind w:firstLine="525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3.</w:t>
      </w:r>
      <w:r>
        <w:rPr>
          <w:rFonts w:ascii="Arial" w:cs="Arial" w:hAnsi="Arial"/>
        </w:rPr>
        <w:t xml:space="preserve"> Recebidas as propostas, a Administração observará as seguintes etapas: 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3.1. Análise de admissibilidade da proposta, com base nos requisitos previstos no item 2 deste edital;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3.2. Decisão sobre a instauração do Procedimento de Manifestação de Interesse Social – PMIS, após verificada a conveniência e a oportunidade pela Administração Pública, após consulta ao órgão ou entidade da administração responsável pela política pública;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3.3. Instauração do Procedimento de Manifestação de Interesse Social – PMIS para oitiva da sociedade sobre a proposta apresentada, mediante divulgação de formulário específico para manifestação dos interessados, que será disponibilizado na internet, na página oficial do Município, no endereço eletrônico ___, no período de ____/____/____ a ____/____/____;</w:t>
      </w:r>
      <w:r>
        <w:rPr>
          <w:rStyle w:val="style19"/>
          <w:rFonts w:ascii="Arial" w:cs="Arial" w:hAnsi="Arial"/>
        </w:rPr>
        <w:footnoteReference w:id="2"/>
      </w:r>
      <w:r>
        <w:rPr>
          <w:rFonts w:ascii="Arial" w:cs="Arial" w:hAnsi="Arial"/>
        </w:rPr>
        <w:t xml:space="preserve"> e</w:t>
      </w:r>
    </w:p>
    <w:p>
      <w:pPr>
        <w:pStyle w:val="style0"/>
        <w:tabs>
          <w:tab w:leader="none" w:pos="709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3.4. Manifestação do órgão (ou da entidade) da administração pública responsável pela política pública sobre o mérito das propostas apresentadas em conformidade com este edital, após o período previsto no item 3.3, considerando a ocorrência de manifestação durante o Procedimento de Manifestação de Interesse Social, bem como o teor das contribuições apresentadas pela sociedade.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4.</w:t>
      </w:r>
      <w:r>
        <w:rPr>
          <w:rFonts w:ascii="Arial" w:cs="Arial" w:hAnsi="Arial"/>
        </w:rPr>
        <w:t xml:space="preserve"> A apresentação de propostas pelas organizações da sociedade civil, movimentos sociais e cidadãos, bem como a realização do Procedimento de Manifestação de Interesse Social não obrigarão à realização do chamamento público, tampouco à celebração da parceria, que ocorrerão de acordo com os interesses da Administração Pública Municipal.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4.1. A realização do Procedimento de Manifestação de Interesse Social não torna automaticamente dispensado, dispensável ou inexigível o chamamento público para a celebração da parceria.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4.2. A proposição ou participação do Procedimento de Manifestação de Interesse Social não impede a organização da sociedade civil de participar no eventual chamamento público subsequente.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  <w:t>4.3. Não é condição para participação de chamamento público ou celebração de parceria a prévia participação de organização da sociedade civil no Procedimento de Manifestação de Interesse Social.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5.</w:t>
      </w:r>
      <w:r>
        <w:rPr>
          <w:rFonts w:ascii="Arial" w:cs="Arial" w:hAnsi="Arial"/>
        </w:rPr>
        <w:t xml:space="preserve"> Quadro síntese das etapas e respectivos prazos previstos neste edital: </w:t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3"/>
          <w:bottom w:type="dxa" w:w="0"/>
          <w:right w:type="dxa" w:w="108"/>
        </w:tblCellMar>
      </w:tblPr>
      <w:tblGrid>
        <w:gridCol w:w="5803"/>
        <w:gridCol w:w="2835"/>
      </w:tblGrid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Ato/Procedimento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  <w:b/>
              </w:rPr>
            </w:pPr>
            <w:r>
              <w:rPr>
                <w:rFonts w:ascii="Arial" w:cs="Arial" w:hAnsi="Arial"/>
                <w:b/>
              </w:rPr>
              <w:t>Prazo/data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Recebimento das propostas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 __/__/__ a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Análise de admissibilidade das propostas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 xml:space="preserve">Verificação da conveniência e da oportunidade de instauração do PMIS com oitiva da sociedade 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Divulgação da decisão sobre a instauração do PMIS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Instauração do PMIS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Oitiva da sociedade sobre o tema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De __/__/__ a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Manifestação sobre o mérito das propostas apresentadas em conformidade com este edital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  <w:tr>
        <w:trPr>
          <w:cantSplit w:val="false"/>
        </w:trPr>
        <w:tc>
          <w:tcPr>
            <w:tcW w:type="dxa" w:w="58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both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Publicação do resultado final do PMIS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3"/>
            </w:tcMar>
          </w:tcPr>
          <w:p>
            <w:pPr>
              <w:pStyle w:val="style0"/>
              <w:tabs>
                <w:tab w:leader="none" w:pos="567" w:val="left"/>
              </w:tabs>
              <w:spacing w:line="360" w:lineRule="auto"/>
              <w:jc w:val="center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Até __/__/__</w:t>
            </w:r>
          </w:p>
        </w:tc>
      </w:tr>
    </w:tbl>
    <w:p>
      <w:pPr>
        <w:pStyle w:val="style29"/>
        <w:tabs>
          <w:tab w:leader="none" w:pos="851" w:val="left"/>
        </w:tabs>
        <w:spacing w:after="0" w:before="0" w:line="360" w:lineRule="auto"/>
        <w:ind w:hanging="0" w:left="927" w:right="0"/>
        <w:contextualSpacing/>
        <w:jc w:val="both"/>
        <w:rPr>
          <w:rFonts w:ascii="Arial" w:cs="Arial" w:eastAsia="Times New Roman" w:hAnsi="Arial"/>
          <w:sz w:val="24"/>
          <w:szCs w:val="24"/>
          <w:lang w:eastAsia="pt-BR"/>
        </w:rPr>
      </w:pPr>
      <w:r>
        <w:rPr>
          <w:rFonts w:ascii="Arial" w:cs="Arial" w:eastAsia="Times New Roman" w:hAnsi="Arial"/>
          <w:sz w:val="24"/>
          <w:szCs w:val="24"/>
          <w:lang w:eastAsia="pt-BR"/>
        </w:rPr>
      </w:r>
    </w:p>
    <w:p>
      <w:pPr>
        <w:pStyle w:val="style0"/>
        <w:tabs>
          <w:tab w:leader="none" w:pos="851" w:val="left"/>
        </w:tabs>
        <w:spacing w:line="360" w:lineRule="auto"/>
        <w:ind w:firstLine="567" w:left="0" w:right="0"/>
        <w:jc w:val="both"/>
        <w:rPr>
          <w:rFonts w:ascii="Arial" w:cs="Arial" w:hAnsi="Arial"/>
        </w:rPr>
      </w:pPr>
      <w:r>
        <w:rPr>
          <w:rFonts w:ascii="Arial" w:cs="Arial" w:hAnsi="Arial"/>
          <w:b/>
        </w:rPr>
        <w:t>6.</w:t>
      </w:r>
      <w:r>
        <w:rPr>
          <w:rFonts w:ascii="Arial" w:cs="Arial" w:hAnsi="Arial"/>
        </w:rPr>
        <w:t xml:space="preserve"> As propostas, as decisões da Administração e as manifestações da sociedade e o resultado final do Procedimento de Manifestação de Interesse Social – PMIS serão divulgadas na internet, na página oficial do Município, no endereço eletrônico ___.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both"/>
        <w:rPr>
          <w:rFonts w:ascii="Arial" w:cs="Arial" w:hAnsi="Arial"/>
        </w:rPr>
      </w:pPr>
      <w:r>
        <w:rPr>
          <w:rFonts w:ascii="Arial" w:cs="Arial" w:hAnsi="Arial"/>
        </w:rPr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>
          <w:rFonts w:ascii="Arial" w:cs="Arial" w:hAnsi="Arial"/>
        </w:rPr>
      </w:pPr>
      <w:r>
        <w:rPr>
          <w:rFonts w:ascii="Arial" w:cs="Arial" w:hAnsi="Arial"/>
        </w:rPr>
        <w:t>Local e data.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>
          <w:rFonts w:ascii="Arial" w:cs="Arial" w:hAnsi="Arial"/>
        </w:rPr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1134" w:val="left"/>
          <w:tab w:leader="none" w:pos="4253" w:val="left"/>
        </w:tabs>
        <w:spacing w:line="360" w:lineRule="auto"/>
        <w:jc w:val="center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notePr>
        <w:numFmt w:val="decimal"/>
      </w:footnotePr>
      <w:type w:val="nextPage"/>
      <w:pgSz w:h="16838" w:w="11906"/>
      <w:pgMar w:bottom="1417" w:footer="0" w:gutter="0" w:header="477" w:left="1701" w:right="1701" w:top="280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8"/>
        <w:jc w:val="both"/>
        <w:rPr>
          <w:rFonts w:ascii="Arial" w:cs="Arial" w:hAnsi="Arial"/>
        </w:rPr>
      </w:pPr>
      <w:r>
        <w:rPr>
          <w:rStyle w:val="style18"/>
          <w:rFonts w:ascii="Arial" w:cs="Arial" w:hAnsi="Arial"/>
        </w:rPr>
        <w:footnoteRef/>
        <w:tab/>
      </w:r>
      <w:r>
        <w:rPr>
          <w:rStyle w:val="style18"/>
          <w:rFonts w:ascii="Arial" w:cs="Arial" w:hAnsi="Arial"/>
        </w:rPr>
        <w:tab/>
        <w:tab/>
        <w:tab/>
      </w:r>
      <w:r>
        <w:rPr>
          <w:rFonts w:ascii="Arial" w:cs="Arial" w:hAnsi="Arial"/>
        </w:rPr>
        <w:t xml:space="preserve"> De acordo com a regulamentação editada pelo Município e a critério da Administração Pública, também é possível que a manifestação de interesse social ocorra por meio de audiência ou consulta pública, caso em que o do inciso III do item 3 deste edital poderá ser acrescido da seguinte expressão “e de realização de audiência pública específica, coordenada pelo órgão (ou entidade) responsável pela política pública, a ser realizada no dia _________, da qual será elaborada a correspondente ata”.</w:t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  <w:p>
      <w:pPr>
        <w:pStyle w:val="style3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1"/>
      <w:jc w:val="center"/>
      <w:rPr/>
    </w:pPr>
    <w:r>
      <w:rPr/>
      <w:drawing>
        <wp:inline distB="0" distL="0" distR="0" distT="0">
          <wp:extent cx="549275" cy="68453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31"/>
      <w:spacing w:line="312" w:lineRule="auto"/>
      <w:jc w:val="center"/>
      <w:rPr>
        <w:rFonts w:ascii="Arial" w:cs="Arial" w:hAnsi="Arial"/>
        <w:sz w:val="10"/>
        <w:szCs w:val="10"/>
      </w:rPr>
    </w:pPr>
    <w:r>
      <w:rPr>
        <w:rFonts w:ascii="Arial" w:cs="Arial" w:hAnsi="Arial"/>
        <w:sz w:val="10"/>
        <w:szCs w:val="10"/>
      </w:rPr>
      <w:t>.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MUNICÍPIO DE SANTA ROSA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ESTADO DO RIO GRANDE DO SUL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UNIDADE CENTRAL DE CONTROLE INTERNO</w:t>
    </w:r>
  </w:p>
  <w:p>
    <w:pPr>
      <w:pStyle w:val="style31"/>
      <w:spacing w:line="200" w:lineRule="atLeast"/>
      <w:jc w:val="center"/>
      <w:rPr>
        <w:rFonts w:ascii="Arial" w:cs="Arial" w:hAnsi="Arial"/>
        <w:sz w:val="18"/>
        <w:szCs w:val="18"/>
      </w:rPr>
    </w:pPr>
    <w:r>
      <w:rPr>
        <w:rFonts w:ascii="Arial" w:cs="Arial" w:hAnsi="Arial"/>
        <w:sz w:val="18"/>
        <w:szCs w:val="18"/>
      </w:rPr>
      <w:t>IN UCCI nº 06/2018 – Anexo XXX</w:t>
    </w:r>
    <w:r>
      <w:rPr>
        <w:rFonts w:ascii="Arial" w:cs="Arial" w:hAnsi="Arial"/>
        <w:sz w:val="18"/>
        <w:szCs w:val="18"/>
      </w:rPr>
      <w:t>I</w:t>
    </w:r>
  </w:p>
</w:hdr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1"/>
    <w:pPr>
      <w:keepNext/>
      <w:spacing w:after="60" w:before="240" w:line="252" w:lineRule="auto"/>
      <w:contextualSpacing w:val="false"/>
    </w:pPr>
    <w:rPr>
      <w:rFonts w:ascii="Cambria" w:hAnsi="Cambria"/>
      <w:b/>
      <w:bCs/>
      <w:sz w:val="32"/>
      <w:szCs w:val="32"/>
      <w:lang w:eastAsia="en-US"/>
    </w:rPr>
  </w:style>
  <w:style w:styleId="style15" w:type="character">
    <w:name w:val="Default Paragraph Font"/>
    <w:next w:val="style15"/>
    <w:rPr/>
  </w:style>
  <w:style w:styleId="style16" w:type="character">
    <w:name w:val="Título 1 Char"/>
    <w:basedOn w:val="style15"/>
    <w:next w:val="style16"/>
    <w:rPr>
      <w:rFonts w:ascii="Cambria" w:cs="Times New Roman" w:eastAsia="Times New Roman" w:hAnsi="Cambria"/>
      <w:b/>
      <w:bCs/>
      <w:sz w:val="32"/>
      <w:szCs w:val="32"/>
    </w:rPr>
  </w:style>
  <w:style w:styleId="style17" w:type="character">
    <w:name w:val="Texto de nota de rodapé Char"/>
    <w:basedOn w:val="style15"/>
    <w:next w:val="style17"/>
    <w:rPr>
      <w:rFonts w:ascii="Times New Roman" w:cs="Times New Roman" w:eastAsia="Times New Roman" w:hAnsi="Times New Roman"/>
      <w:sz w:val="20"/>
      <w:szCs w:val="20"/>
      <w:lang w:eastAsia="pt-BR"/>
    </w:rPr>
  </w:style>
  <w:style w:styleId="style18" w:type="character">
    <w:name w:val="footnote reference"/>
    <w:next w:val="style18"/>
    <w:rPr>
      <w:vertAlign w:val="superscript"/>
    </w:rPr>
  </w:style>
  <w:style w:styleId="style19" w:type="character">
    <w:name w:val="Âncora da nota de rodapé"/>
    <w:next w:val="style19"/>
    <w:rPr>
      <w:vertAlign w:val="superscript"/>
    </w:rPr>
  </w:style>
  <w:style w:styleId="style20" w:type="character">
    <w:name w:val="Âncora da nota de fim"/>
    <w:next w:val="style20"/>
    <w:rPr>
      <w:vertAlign w:val="superscript"/>
    </w:rPr>
  </w:style>
  <w:style w:styleId="style21" w:type="character">
    <w:name w:val="Caracteres de nota de rodapé"/>
    <w:next w:val="style21"/>
    <w:rPr/>
  </w:style>
  <w:style w:styleId="style22" w:type="character">
    <w:name w:val="Caracteres de nota de fim"/>
    <w:next w:val="style22"/>
    <w:rPr/>
  </w:style>
  <w:style w:styleId="style23" w:type="paragraph">
    <w:name w:val="Título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Corpo do texto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Legenda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Índice"/>
    <w:basedOn w:val="style0"/>
    <w:next w:val="style27"/>
    <w:pPr>
      <w:suppressLineNumbers/>
    </w:pPr>
    <w:rPr>
      <w:rFonts w:cs="Mangal"/>
    </w:rPr>
  </w:style>
  <w:style w:styleId="style28" w:type="paragraph">
    <w:name w:val="footnote text"/>
    <w:basedOn w:val="style0"/>
    <w:next w:val="style28"/>
    <w:pPr/>
    <w:rPr>
      <w:sz w:val="20"/>
      <w:szCs w:val="20"/>
    </w:rPr>
  </w:style>
  <w:style w:styleId="style29" w:type="paragraph">
    <w:name w:val="List Paragraph"/>
    <w:basedOn w:val="style0"/>
    <w:next w:val="style29"/>
    <w:pPr>
      <w:spacing w:after="160" w:before="0" w:line="252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30" w:type="paragraph">
    <w:name w:val="Nota de rodapé"/>
    <w:basedOn w:val="style0"/>
    <w:next w:val="style30"/>
    <w:pPr/>
    <w:rPr/>
  </w:style>
  <w:style w:styleId="style31" w:type="paragraph">
    <w:name w:val="Cabeçalho"/>
    <w:basedOn w:val="style0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2017-06-23T18:56:00Z</dcterms:created>
  <dc:creator>Ana Janovik</dc:creator>
  <cp:lastModifiedBy>Pessol DPM</cp:lastModifiedBy>
  <dcterms:modified xsi:type="dcterms:W3CDTF">2017-06-23T18:56:00Z</dcterms:modified>
  <cp:revision>2</cp:revision>
</cp:coreProperties>
</file>